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67" w:rsidRDefault="00FD10C9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50165" distB="50165" distL="118745" distR="114300" simplePos="0" relativeHeight="251654144" behindDoc="0" locked="0" layoutInCell="0" allowOverlap="1">
                <wp:simplePos x="0" y="0"/>
                <wp:positionH relativeFrom="margin">
                  <wp:posOffset>1872615</wp:posOffset>
                </wp:positionH>
                <wp:positionV relativeFrom="paragraph">
                  <wp:posOffset>73660</wp:posOffset>
                </wp:positionV>
                <wp:extent cx="3156585" cy="419735"/>
                <wp:effectExtent l="0" t="0" r="6350" b="0"/>
                <wp:wrapSquare wrapText="bothSides"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12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067" w:rsidRDefault="00FD10C9">
                            <w:pPr>
                              <w:pStyle w:val="ab"/>
                              <w:shd w:val="clear" w:color="auto" w:fill="FFFFFF"/>
                              <w:spacing w:beforeAutospacing="0" w:after="0" w:afterAutospacing="0" w:line="288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Санкт-Петербург, пр.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  <w:shd w:val="clear" w:color="auto" w:fill="FFFFFF"/>
                              </w:rPr>
                              <w:t>Обуховской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обороны, д. 271 тел. </w:t>
                            </w:r>
                            <w:r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</w:rPr>
                              <w:t>+7 (812) 777-98-77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margin-left:147.45pt;margin-top:5.8pt;width:248.55pt;height:33.05pt;z-index:-1020;visibility:visible;mso-wrap-style:square;mso-wrap-distance-left:9.35pt;mso-wrap-distance-top:3.95pt;mso-wrap-distance-right:9pt;mso-wrap-distance-bottom:3.9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" o:allowincell="f" stroked="f">
                <v:textbox>
                  <w:txbxContent>
                    <w:p w:rsidR="00E34067" w:rsidRDefault="00FD10C9">
                      <w:pPr>
                        <w:pStyle w:val="ab"/>
                        <w:shd w:val="clear" w:color="auto" w:fill="FFFFFF"/>
                        <w:spacing w:beforeAutospacing="0" w:after="0" w:afterAutospacing="0" w:line="288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  <w:shd w:val="clear" w:color="auto" w:fill="FFFFFF"/>
                        </w:rPr>
                        <w:t xml:space="preserve">Санкт-Петербург, пр. </w:t>
                      </w:r>
                      <w:proofErr w:type="spellStart"/>
                      <w:r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  <w:shd w:val="clear" w:color="auto" w:fill="FFFFFF"/>
                        </w:rPr>
                        <w:t>Обуховской</w:t>
                      </w:r>
                      <w:proofErr w:type="spellEnd"/>
                      <w:r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  <w:shd w:val="clear" w:color="auto" w:fill="FFFFFF"/>
                        </w:rPr>
                        <w:t xml:space="preserve"> обороны, д. 271 тел. </w:t>
                      </w:r>
                      <w:r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</w:rPr>
                        <w:t>+7 (812) 777-98-77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5516245</wp:posOffset>
            </wp:positionH>
            <wp:positionV relativeFrom="paragraph">
              <wp:posOffset>148590</wp:posOffset>
            </wp:positionV>
            <wp:extent cx="1041400" cy="291465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15240</wp:posOffset>
            </wp:positionH>
            <wp:positionV relativeFrom="paragraph">
              <wp:posOffset>635</wp:posOffset>
            </wp:positionV>
            <wp:extent cx="1382395" cy="58483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067" w:rsidRDefault="00E34067">
      <w:pPr>
        <w:rPr>
          <w:rFonts w:ascii="Arial" w:hAnsi="Arial" w:cs="Arial"/>
          <w:sz w:val="20"/>
          <w:szCs w:val="20"/>
        </w:rPr>
      </w:pPr>
    </w:p>
    <w:p w:rsidR="00E34067" w:rsidRDefault="00FD10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3175" distB="0" distL="3175" distR="0" simplePos="0" relativeHeight="251660288" behindDoc="0" locked="0" layoutInCell="0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66675</wp:posOffset>
                </wp:positionV>
                <wp:extent cx="6720840" cy="10160"/>
                <wp:effectExtent l="0" t="0" r="23495" b="27305"/>
                <wp:wrapNone/>
                <wp:docPr id="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12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C5953" id="Прямая соединительная линия 2" o:spid="_x0000_s1026" style="position:absolute;flip:y;z-index:-1018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-9.85pt,5.25pt" to="519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" o:allowincell="f" strokeweight=".5pt">
                <v:stroke joinstyle="miter"/>
              </v:line>
            </w:pict>
          </mc:Fallback>
        </mc:AlternateContent>
      </w:r>
    </w:p>
    <w:p w:rsidR="00E34067" w:rsidRDefault="00360662">
      <w:pPr>
        <w:spacing w:after="80"/>
        <w:ind w:right="2833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noProof/>
          <w:color w:val="151515"/>
          <w:sz w:val="18"/>
          <w:szCs w:val="1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3349302</wp:posOffset>
            </wp:positionH>
            <wp:positionV relativeFrom="paragraph">
              <wp:posOffset>29577</wp:posOffset>
            </wp:positionV>
            <wp:extent cx="2858939" cy="285893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орпус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939" cy="2858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C9">
        <w:rPr>
          <w:rFonts w:ascii="Arial" w:hAnsi="Arial" w:cs="Arial"/>
          <w:b/>
          <w:color w:val="151515"/>
          <w:sz w:val="24"/>
          <w:szCs w:val="24"/>
          <w:lang w:eastAsia="ru-RU"/>
        </w:rPr>
        <w:t>Светодиодный светильник для аквариума «</w:t>
      </w:r>
      <w:proofErr w:type="spellStart"/>
      <w:r w:rsidR="00FD10C9">
        <w:rPr>
          <w:rFonts w:ascii="Arial" w:hAnsi="Arial" w:cs="Arial"/>
          <w:b/>
          <w:color w:val="151515"/>
          <w:sz w:val="24"/>
          <w:szCs w:val="24"/>
          <w:lang w:eastAsia="ru-RU"/>
        </w:rPr>
        <w:t>АкваСвет</w:t>
      </w:r>
      <w:proofErr w:type="spellEnd"/>
      <w:r w:rsidR="00FD10C9">
        <w:rPr>
          <w:rFonts w:ascii="Arial" w:hAnsi="Arial" w:cs="Arial"/>
          <w:b/>
          <w:color w:val="151515"/>
          <w:sz w:val="24"/>
          <w:szCs w:val="24"/>
          <w:lang w:eastAsia="ru-RU"/>
        </w:rPr>
        <w:t>»</w:t>
      </w:r>
    </w:p>
    <w:p w:rsidR="00E34067" w:rsidRDefault="00FD10C9">
      <w:pPr>
        <w:spacing w:after="120"/>
        <w:rPr>
          <w:rFonts w:ascii="Arial" w:hAnsi="Arial" w:cs="Arial"/>
          <w:color w:val="151515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151515"/>
          <w:sz w:val="20"/>
          <w:szCs w:val="20"/>
          <w:shd w:val="clear" w:color="auto" w:fill="FFFFFF"/>
        </w:rPr>
        <w:t>Артикул: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SN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SL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</w:rPr>
        <w:t>120-60/80/90</w:t>
      </w:r>
      <w:r w:rsidR="00360662">
        <w:rPr>
          <w:rFonts w:ascii="Arial" w:hAnsi="Arial" w:cs="Arial"/>
          <w:color w:val="151515"/>
          <w:sz w:val="20"/>
          <w:szCs w:val="20"/>
          <w:shd w:val="clear" w:color="auto" w:fill="FFFFFF"/>
        </w:rPr>
        <w:t>/120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</w:rPr>
        <w:t>-6.5-01-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C</w:t>
      </w:r>
    </w:p>
    <w:p w:rsidR="00E34067" w:rsidRDefault="00FD10C9" w:rsidP="00360662">
      <w:pPr>
        <w:spacing w:after="0" w:line="240" w:lineRule="auto"/>
        <w:ind w:right="4675"/>
        <w:jc w:val="both"/>
        <w:rPr>
          <w:rFonts w:ascii="Arial" w:hAnsi="Arial" w:cs="Arial"/>
          <w:color w:val="151515"/>
          <w:sz w:val="18"/>
          <w:szCs w:val="18"/>
          <w:lang w:eastAsia="ru-RU"/>
        </w:rPr>
      </w:pPr>
      <w:r>
        <w:rPr>
          <w:rFonts w:ascii="Arial" w:hAnsi="Arial" w:cs="Arial"/>
          <w:color w:val="151515"/>
          <w:sz w:val="18"/>
          <w:szCs w:val="18"/>
          <w:lang w:eastAsia="ru-RU"/>
        </w:rPr>
        <w:t>Аквариумный светодиодный светильник «АкваСвет»,900мм - это обновленное поколение эффективных светильников для аквариумов с большим световым потоком, высокой цветопередачей (CRI&gt;97) и низким энергопотреблением, за счет использования 3-х чиповых светодиодов. Светодиоды с высоким коэффициентом цветопередачи CRI&gt;97 создают ровный белый свет, максимально приближенный к естественному, а также позволяют видеть объекты без искажений, отчетливо различать все цвета и оттенки.</w:t>
      </w:r>
    </w:p>
    <w:p w:rsidR="00E34067" w:rsidRDefault="00FD10C9" w:rsidP="00360662">
      <w:pPr>
        <w:spacing w:after="0" w:line="240" w:lineRule="auto"/>
        <w:ind w:right="4817"/>
        <w:jc w:val="both"/>
        <w:rPr>
          <w:rFonts w:ascii="Arial" w:hAnsi="Arial" w:cs="Arial"/>
          <w:color w:val="151515"/>
          <w:sz w:val="18"/>
          <w:szCs w:val="18"/>
          <w:lang w:eastAsia="ru-RU"/>
        </w:rPr>
      </w:pPr>
      <w:r>
        <w:rPr>
          <w:rFonts w:ascii="Arial" w:hAnsi="Arial" w:cs="Arial"/>
          <w:color w:val="151515"/>
          <w:sz w:val="18"/>
          <w:szCs w:val="18"/>
          <w:lang w:eastAsia="ru-RU"/>
        </w:rPr>
        <w:t xml:space="preserve">За счет увеличенного количества светодиодов, достигается равномерное </w:t>
      </w:r>
      <w:proofErr w:type="spellStart"/>
      <w:r>
        <w:rPr>
          <w:rFonts w:ascii="Arial" w:hAnsi="Arial" w:cs="Arial"/>
          <w:color w:val="151515"/>
          <w:sz w:val="18"/>
          <w:szCs w:val="18"/>
          <w:lang w:eastAsia="ru-RU"/>
        </w:rPr>
        <w:t>светораспределение</w:t>
      </w:r>
      <w:proofErr w:type="spellEnd"/>
      <w:r>
        <w:rPr>
          <w:rFonts w:ascii="Arial" w:hAnsi="Arial" w:cs="Arial"/>
          <w:color w:val="151515"/>
          <w:sz w:val="18"/>
          <w:szCs w:val="18"/>
          <w:lang w:eastAsia="ru-RU"/>
        </w:rPr>
        <w:t xml:space="preserve"> и исключается слепящий эффект.</w:t>
      </w:r>
    </w:p>
    <w:p w:rsidR="00E34067" w:rsidRDefault="00360662" w:rsidP="00360662">
      <w:pPr>
        <w:spacing w:after="0" w:line="240" w:lineRule="auto"/>
        <w:ind w:right="4675"/>
        <w:jc w:val="both"/>
        <w:rPr>
          <w:rFonts w:ascii="Arial" w:hAnsi="Arial" w:cs="Arial"/>
          <w:color w:val="151515"/>
          <w:sz w:val="18"/>
          <w:szCs w:val="18"/>
          <w:lang w:eastAsia="ru-RU"/>
        </w:rPr>
      </w:pPr>
      <w:r>
        <w:rPr>
          <w:rFonts w:ascii="Arial" w:hAnsi="Arial" w:cs="Arial"/>
          <w:noProof/>
          <w:color w:val="151515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6108443</wp:posOffset>
            </wp:positionH>
            <wp:positionV relativeFrom="paragraph">
              <wp:posOffset>276856</wp:posOffset>
            </wp:positionV>
            <wp:extent cx="725170" cy="4387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0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51515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5685665</wp:posOffset>
            </wp:positionH>
            <wp:positionV relativeFrom="paragraph">
              <wp:posOffset>347139</wp:posOffset>
            </wp:positionV>
            <wp:extent cx="369364" cy="36936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 5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4" cy="36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51515"/>
          <w:sz w:val="18"/>
          <w:szCs w:val="1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5263148</wp:posOffset>
            </wp:positionH>
            <wp:positionV relativeFrom="paragraph">
              <wp:posOffset>340657</wp:posOffset>
            </wp:positionV>
            <wp:extent cx="375274" cy="375274"/>
            <wp:effectExtent l="0" t="0" r="635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I не менее 9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57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C9">
        <w:rPr>
          <w:rFonts w:ascii="Arial" w:hAnsi="Arial" w:cs="Arial"/>
          <w:color w:val="151515"/>
          <w:sz w:val="18"/>
          <w:szCs w:val="18"/>
          <w:lang w:eastAsia="ru-RU"/>
        </w:rPr>
        <w:t>Светодиодных модули закрыты прозрачным монолитным поликарбонатом с светорассеивающей добавкой. Корпус светильника выполнен из алюминия, окрашен порошковой краской серого цвета, комплектуется надежным источником питания со шнуром и вилкой.</w:t>
      </w:r>
    </w:p>
    <w:p w:rsidR="00E34067" w:rsidRDefault="00E34067">
      <w:pPr>
        <w:spacing w:after="0" w:line="240" w:lineRule="auto"/>
        <w:ind w:right="4392"/>
        <w:rPr>
          <w:rFonts w:ascii="Arial" w:hAnsi="Arial" w:cs="Arial"/>
          <w:color w:val="151515"/>
          <w:sz w:val="18"/>
          <w:szCs w:val="18"/>
          <w:lang w:eastAsia="ru-RU"/>
        </w:rPr>
      </w:pPr>
    </w:p>
    <w:p w:rsidR="00E34067" w:rsidRDefault="00FD10C9">
      <w:pPr>
        <w:spacing w:after="0" w:line="240" w:lineRule="auto"/>
        <w:ind w:right="-2"/>
        <w:rPr>
          <w:rFonts w:ascii="Arial" w:hAnsi="Arial" w:cs="Arial"/>
          <w:color w:val="151515"/>
          <w:sz w:val="18"/>
          <w:szCs w:val="18"/>
          <w:lang w:eastAsia="ru-RU"/>
        </w:rPr>
      </w:pPr>
      <w:r>
        <w:rPr>
          <w:rFonts w:ascii="Arial" w:hAnsi="Arial" w:cs="Arial"/>
          <w:color w:val="151515"/>
          <w:sz w:val="18"/>
          <w:szCs w:val="18"/>
          <w:lang w:eastAsia="ru-RU"/>
        </w:rPr>
        <w:t>В комплект входят раздвижные ножки, благодаря которым можно закрепить светильник на аквариумах от 90 см до 150 см. Также в комплекте идут тросики для крепления светильника длиной 1 метр.</w:t>
      </w:r>
    </w:p>
    <w:p w:rsidR="00E34067" w:rsidRDefault="00E34067">
      <w:pPr>
        <w:spacing w:after="0" w:line="240" w:lineRule="auto"/>
        <w:ind w:right="2691"/>
        <w:rPr>
          <w:rFonts w:ascii="Arial" w:hAnsi="Arial" w:cs="Arial"/>
          <w:color w:val="151515"/>
          <w:sz w:val="18"/>
          <w:szCs w:val="18"/>
          <w:lang w:eastAsia="ru-RU"/>
        </w:rPr>
      </w:pPr>
    </w:p>
    <w:p w:rsidR="00E34067" w:rsidRDefault="00FD10C9">
      <w:pPr>
        <w:spacing w:after="120" w:line="240" w:lineRule="auto"/>
        <w:ind w:right="3969"/>
        <w:rPr>
          <w:rFonts w:ascii="Arial" w:hAnsi="Arial" w:cs="Arial"/>
          <w:b/>
          <w:color w:val="151515"/>
          <w:sz w:val="20"/>
          <w:szCs w:val="20"/>
          <w:lang w:eastAsia="ru-RU"/>
        </w:rPr>
      </w:pPr>
      <w:r>
        <w:rPr>
          <w:rFonts w:ascii="Arial" w:hAnsi="Arial" w:cs="Arial"/>
          <w:b/>
          <w:color w:val="151515"/>
          <w:sz w:val="20"/>
          <w:szCs w:val="20"/>
          <w:lang w:eastAsia="ru-RU"/>
        </w:rPr>
        <w:t>Область применения</w:t>
      </w:r>
    </w:p>
    <w:p w:rsidR="00E34067" w:rsidRDefault="00FD10C9">
      <w:pPr>
        <w:spacing w:after="0" w:line="240" w:lineRule="auto"/>
        <w:ind w:right="-425"/>
        <w:rPr>
          <w:rFonts w:ascii="Arial" w:hAnsi="Arial" w:cs="Arial"/>
          <w:color w:val="151515"/>
          <w:sz w:val="18"/>
          <w:szCs w:val="18"/>
          <w:lang w:eastAsia="ru-RU"/>
        </w:rPr>
      </w:pPr>
      <w:r>
        <w:rPr>
          <w:rFonts w:ascii="Arial" w:hAnsi="Arial" w:cs="Arial"/>
          <w:color w:val="151515"/>
          <w:sz w:val="18"/>
          <w:szCs w:val="18"/>
          <w:lang w:eastAsia="ru-RU"/>
        </w:rPr>
        <w:t>Светильники с высоким коэффициентом цветопередачи применяются в условиях повышенного требования к качеству света, в частности при освещении и подсветке аквариумов. Свет напрямую влияет на жизнь и развитие аквариумных растений, способствует их развитию и образованию полезных органических веществ, именно за счет него происходит фотосинтез, с последующим активным выделением кислорода. Светильник позволяет увеличить продолжительность светового дня и интенсивность освещения. Дает ровный белый свет, максимально приближенный к естественному, высокий индекс цветопередачи позволяет видеть объекты без искажений, отчетливо различать все цвета и оттенки.</w:t>
      </w:r>
      <w:r>
        <w:rPr>
          <w:rFonts w:ascii="Arial" w:hAnsi="Arial" w:cs="Arial"/>
          <w:color w:val="151515"/>
          <w:sz w:val="18"/>
          <w:szCs w:val="18"/>
          <w:lang w:eastAsia="ru-RU"/>
        </w:rPr>
        <w:br/>
        <w:t>Светильник предназначен для общего освещения аквариума, идеально подходит для создания современного дизайна.</w:t>
      </w:r>
    </w:p>
    <w:p w:rsidR="00E34067" w:rsidRDefault="00E34067">
      <w:pPr>
        <w:spacing w:line="240" w:lineRule="auto"/>
        <w:ind w:right="-425"/>
        <w:rPr>
          <w:rFonts w:ascii="Arial" w:hAnsi="Arial" w:cs="Arial"/>
          <w:color w:val="151515"/>
          <w:sz w:val="18"/>
          <w:szCs w:val="18"/>
          <w:lang w:eastAsia="ru-RU"/>
        </w:rPr>
      </w:pPr>
    </w:p>
    <w:p w:rsidR="00E34067" w:rsidRDefault="00FD10C9">
      <w:pPr>
        <w:pStyle w:val="a7"/>
        <w:spacing w:after="12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Особенности</w:t>
      </w:r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hAnsi="Arial" w:cs="Arial"/>
          <w:color w:val="151515"/>
          <w:sz w:val="16"/>
          <w:szCs w:val="16"/>
          <w:lang w:eastAsia="ru-RU"/>
        </w:rPr>
        <w:t>Высокий коэффициент цветопередачи CRI не менее 97;</w:t>
      </w:r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Специально подобранные светодиоды на 6500К;</w:t>
      </w:r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Наличие в спектре пика зеленого цвета 500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nm</w:t>
      </w:r>
      <w:proofErr w:type="spellEnd"/>
      <w:r w:rsidR="00CD627F">
        <w:rPr>
          <w:rFonts w:ascii="Arial" w:eastAsia="Times New Roman" w:hAnsi="Arial" w:cs="Arial"/>
          <w:sz w:val="16"/>
          <w:szCs w:val="16"/>
          <w:lang w:eastAsia="ru-RU"/>
        </w:rPr>
        <w:t>, что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выгодно подчеркивает флору аквариума;</w:t>
      </w:r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Высокая мощность 60/80/90</w:t>
      </w:r>
      <w:r w:rsidR="00360662">
        <w:rPr>
          <w:rFonts w:ascii="Arial" w:eastAsia="Times New Roman" w:hAnsi="Arial" w:cs="Arial"/>
          <w:sz w:val="16"/>
          <w:szCs w:val="16"/>
          <w:lang w:eastAsia="ru-RU"/>
        </w:rPr>
        <w:t>/120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Вт;</w:t>
      </w:r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Большое количество люмен – от 7000 до 1</w:t>
      </w:r>
      <w:r w:rsidR="00360662">
        <w:rPr>
          <w:rFonts w:ascii="Arial" w:eastAsia="Times New Roman" w:hAnsi="Arial" w:cs="Arial"/>
          <w:sz w:val="16"/>
          <w:szCs w:val="16"/>
          <w:lang w:eastAsia="ru-RU"/>
        </w:rPr>
        <w:t>345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0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lm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Крючки для подвеса светильника;</w:t>
      </w:r>
      <w:bookmarkStart w:id="0" w:name="_GoBack"/>
      <w:bookmarkEnd w:id="0"/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Возможность закрепить светильник на раздвижных ножках по краям аквариума;</w:t>
      </w:r>
    </w:p>
    <w:p w:rsidR="00E34067" w:rsidRDefault="00FD10C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Длинный провод 3 метра</w:t>
      </w:r>
      <w:r w:rsidR="00360662" w:rsidRPr="00360662">
        <w:rPr>
          <w:rFonts w:ascii="Arial" w:eastAsia="Times New Roman" w:hAnsi="Arial" w:cs="Arial"/>
          <w:sz w:val="16"/>
          <w:szCs w:val="16"/>
          <w:lang w:eastAsia="ru-RU"/>
        </w:rPr>
        <w:t>(1,5 м от светильника и 1,5 м от блока питания)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E34067" w:rsidRDefault="00E340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4067" w:rsidRDefault="00FD10C9">
      <w:pPr>
        <w:pStyle w:val="a7"/>
        <w:spacing w:after="12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Технические характеристики</w:t>
      </w:r>
    </w:p>
    <w:tbl>
      <w:tblPr>
        <w:tblStyle w:val="af"/>
        <w:tblW w:w="10485" w:type="dxa"/>
        <w:tblLayout w:type="fixed"/>
        <w:tblLook w:val="04A0" w:firstRow="1" w:lastRow="0" w:firstColumn="1" w:lastColumn="0" w:noHBand="0" w:noVBand="1"/>
      </w:tblPr>
      <w:tblGrid>
        <w:gridCol w:w="2123"/>
        <w:gridCol w:w="1416"/>
        <w:gridCol w:w="1419"/>
        <w:gridCol w:w="2268"/>
        <w:gridCol w:w="1416"/>
        <w:gridCol w:w="1843"/>
      </w:tblGrid>
      <w:tr w:rsidR="00E34067" w:rsidTr="00FD10C9">
        <w:trPr>
          <w:trHeight w:val="515"/>
        </w:trPr>
        <w:tc>
          <w:tcPr>
            <w:tcW w:w="2123" w:type="dxa"/>
            <w:vAlign w:val="center"/>
          </w:tcPr>
          <w:p w:rsidR="00E34067" w:rsidRDefault="00FD10C9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Количество светодиодов</w:t>
            </w:r>
          </w:p>
        </w:tc>
        <w:tc>
          <w:tcPr>
            <w:tcW w:w="1416" w:type="dxa"/>
            <w:vAlign w:val="center"/>
          </w:tcPr>
          <w:p w:rsidR="00E34067" w:rsidRDefault="00FD10C9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Мощность, Вт</w:t>
            </w:r>
          </w:p>
        </w:tc>
        <w:tc>
          <w:tcPr>
            <w:tcW w:w="1419" w:type="dxa"/>
            <w:vAlign w:val="center"/>
          </w:tcPr>
          <w:p w:rsidR="00E34067" w:rsidRDefault="00FD10C9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CRI</w:t>
            </w:r>
          </w:p>
        </w:tc>
        <w:tc>
          <w:tcPr>
            <w:tcW w:w="2268" w:type="dxa"/>
            <w:vAlign w:val="center"/>
          </w:tcPr>
          <w:p w:rsidR="00E34067" w:rsidRDefault="00FD10C9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Цветовая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br/>
              <w:t>температура, К</w:t>
            </w:r>
          </w:p>
        </w:tc>
        <w:tc>
          <w:tcPr>
            <w:tcW w:w="1416" w:type="dxa"/>
            <w:vAlign w:val="center"/>
          </w:tcPr>
          <w:p w:rsidR="00E34067" w:rsidRDefault="00FD10C9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Световой поток, Лм</w:t>
            </w:r>
          </w:p>
        </w:tc>
        <w:tc>
          <w:tcPr>
            <w:tcW w:w="1843" w:type="dxa"/>
            <w:vAlign w:val="center"/>
          </w:tcPr>
          <w:p w:rsidR="00E34067" w:rsidRDefault="00FD10C9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Световая отдача, Лм/Вт</w:t>
            </w:r>
          </w:p>
        </w:tc>
      </w:tr>
      <w:tr w:rsidR="00360662" w:rsidTr="00FD10C9">
        <w:trPr>
          <w:trHeight w:val="227"/>
        </w:trPr>
        <w:tc>
          <w:tcPr>
            <w:tcW w:w="2123" w:type="dxa"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416" w:type="dxa"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  <w:lang w:val="en-US"/>
              </w:rPr>
              <w:t>60</w:t>
            </w:r>
          </w:p>
        </w:tc>
        <w:tc>
          <w:tcPr>
            <w:tcW w:w="1419" w:type="dxa"/>
            <w:vMerge w:val="restart"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Calibri" w:hAnsi="Times New Roman" w:cs="Times New Roman"/>
                <w:color w:val="231F20"/>
                <w:sz w:val="16"/>
                <w:szCs w:val="16"/>
              </w:rPr>
              <w:t>97</w:t>
            </w:r>
          </w:p>
        </w:tc>
        <w:tc>
          <w:tcPr>
            <w:tcW w:w="2268" w:type="dxa"/>
            <w:vMerge w:val="restart"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val="en-US"/>
              </w:rPr>
              <w:t>65</w:t>
            </w:r>
            <w:r>
              <w:rPr>
                <w:rFonts w:ascii="Times New Roman" w:eastAsia="Calibri" w:hAnsi="Times New Roman" w:cs="Times New Roman"/>
                <w:color w:val="231F20"/>
                <w:sz w:val="16"/>
                <w:szCs w:val="16"/>
              </w:rPr>
              <w:t>00</w:t>
            </w:r>
          </w:p>
        </w:tc>
        <w:tc>
          <w:tcPr>
            <w:tcW w:w="1416" w:type="dxa"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7000</w:t>
            </w:r>
          </w:p>
        </w:tc>
        <w:tc>
          <w:tcPr>
            <w:tcW w:w="1843" w:type="dxa"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116</w:t>
            </w:r>
          </w:p>
        </w:tc>
      </w:tr>
      <w:tr w:rsidR="00360662" w:rsidTr="00697513">
        <w:trPr>
          <w:trHeight w:val="227"/>
        </w:trPr>
        <w:tc>
          <w:tcPr>
            <w:tcW w:w="2123" w:type="dxa"/>
            <w:tcBorders>
              <w:top w:val="nil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  <w:lang w:val="en-US"/>
              </w:rPr>
              <w:t>80</w:t>
            </w:r>
          </w:p>
        </w:tc>
        <w:tc>
          <w:tcPr>
            <w:tcW w:w="1419" w:type="dxa"/>
            <w:vMerge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9100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113</w:t>
            </w:r>
          </w:p>
        </w:tc>
      </w:tr>
      <w:tr w:rsidR="00360662" w:rsidTr="00B73F1B">
        <w:trPr>
          <w:trHeight w:val="227"/>
        </w:trPr>
        <w:tc>
          <w:tcPr>
            <w:tcW w:w="2123" w:type="dxa"/>
            <w:tcBorders>
              <w:top w:val="nil"/>
              <w:bottom w:val="single" w:sz="4" w:space="0" w:color="auto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419" w:type="dxa"/>
            <w:vMerge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10000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111</w:t>
            </w:r>
          </w:p>
        </w:tc>
      </w:tr>
      <w:tr w:rsidR="00360662" w:rsidTr="00B73F1B">
        <w:trPr>
          <w:trHeight w:val="227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60662" w:rsidRP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9" w:type="dxa"/>
            <w:vMerge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60662" w:rsidRDefault="00360662" w:rsidP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13450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0662" w:rsidRDefault="00360662">
            <w:pPr>
              <w:tabs>
                <w:tab w:val="left" w:pos="815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151515"/>
                <w:sz w:val="16"/>
                <w:szCs w:val="16"/>
              </w:rPr>
              <w:t>112</w:t>
            </w:r>
          </w:p>
        </w:tc>
      </w:tr>
    </w:tbl>
    <w:p w:rsidR="00E34067" w:rsidRDefault="00E34067">
      <w:pPr>
        <w:pStyle w:val="a7"/>
        <w:spacing w:after="120"/>
        <w:rPr>
          <w:b/>
          <w:i/>
          <w:sz w:val="14"/>
          <w:szCs w:val="14"/>
        </w:rPr>
      </w:pPr>
    </w:p>
    <w:tbl>
      <w:tblPr>
        <w:tblStyle w:val="af"/>
        <w:tblW w:w="10485" w:type="dxa"/>
        <w:tblLayout w:type="fixed"/>
        <w:tblLook w:val="04A0" w:firstRow="1" w:lastRow="0" w:firstColumn="1" w:lastColumn="0" w:noHBand="0" w:noVBand="1"/>
      </w:tblPr>
      <w:tblGrid>
        <w:gridCol w:w="6800"/>
        <w:gridCol w:w="3685"/>
      </w:tblGrid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Напряжение питания, В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  <w:shd w:val="clear" w:color="auto" w:fill="FFFFFF"/>
              </w:rPr>
              <w:t>160-</w:t>
            </w:r>
            <w:r>
              <w:rPr>
                <w:rFonts w:ascii="Arial" w:eastAsia="Calibri" w:hAnsi="Arial" w:cs="Arial"/>
                <w:color w:val="151515"/>
                <w:sz w:val="16"/>
                <w:szCs w:val="16"/>
                <w:shd w:val="clear" w:color="auto" w:fill="FFFFFF"/>
                <w:lang w:val="en-US"/>
              </w:rPr>
              <w:t>2</w:t>
            </w:r>
            <w:r>
              <w:rPr>
                <w:rFonts w:ascii="Arial" w:eastAsia="Calibri" w:hAnsi="Arial" w:cs="Arial"/>
                <w:color w:val="151515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Частота сети, Гц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50-60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Коэффициент мощности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0,</w:t>
            </w:r>
            <w:r>
              <w:rPr>
                <w:rFonts w:ascii="Arial" w:eastAsia="Calibri" w:hAnsi="Arial" w:cs="Arial"/>
                <w:color w:val="151515"/>
                <w:sz w:val="16"/>
                <w:szCs w:val="16"/>
                <w:lang w:val="en-US"/>
              </w:rPr>
              <w:t>97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Пульсации светового потока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 xml:space="preserve">менее </w:t>
            </w:r>
            <w:r>
              <w:rPr>
                <w:rFonts w:ascii="Arial" w:eastAsia="Calibri" w:hAnsi="Arial" w:cs="Arial"/>
                <w:color w:val="151515"/>
                <w:sz w:val="16"/>
                <w:szCs w:val="16"/>
                <w:lang w:val="en-US"/>
              </w:rPr>
              <w:t>1</w:t>
            </w: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%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Класс электробезопасности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I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Степень защиты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IP54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51515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Style w:val="a3"/>
                <w:rFonts w:ascii="Arial" w:eastAsia="Calibri" w:hAnsi="Arial" w:cs="Arial"/>
                <w:b w:val="0"/>
                <w:sz w:val="16"/>
                <w:szCs w:val="16"/>
              </w:rPr>
              <w:t>УХЛ3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Диапазон рабочих температур, </w:t>
            </w:r>
            <w:r>
              <w:rPr>
                <w:rStyle w:val="a3"/>
                <w:rFonts w:ascii="Arial" w:eastAsia="Calibri" w:hAnsi="Arial" w:cs="Arial"/>
                <w:b w:val="0"/>
                <w:sz w:val="16"/>
                <w:szCs w:val="16"/>
              </w:rPr>
              <w:t>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-20…+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службы не менее, часов</w:t>
            </w:r>
          </w:p>
        </w:tc>
        <w:tc>
          <w:tcPr>
            <w:tcW w:w="3685" w:type="dxa"/>
            <w:vAlign w:val="center"/>
          </w:tcPr>
          <w:p w:rsidR="00E34067" w:rsidRDefault="0036066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FD1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0 000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Гарантийный срок, мес.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a3"/>
                <w:rFonts w:ascii="Arial" w:eastAsia="Calibri" w:hAnsi="Arial" w:cs="Arial"/>
                <w:b w:val="0"/>
                <w:sz w:val="16"/>
                <w:szCs w:val="16"/>
              </w:rPr>
              <w:t>12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Рассеиватель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a3"/>
                <w:rFonts w:ascii="Arial" w:eastAsia="Calibri" w:hAnsi="Arial" w:cs="Arial"/>
                <w:b w:val="0"/>
                <w:sz w:val="16"/>
                <w:szCs w:val="16"/>
              </w:rPr>
              <w:t>прозрачный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Габаритные размеры (длина, ширина, высота), мм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900х54х131</w:t>
            </w:r>
          </w:p>
        </w:tc>
      </w:tr>
      <w:tr w:rsidR="00E34067">
        <w:tc>
          <w:tcPr>
            <w:tcW w:w="6799" w:type="dxa"/>
            <w:vAlign w:val="center"/>
          </w:tcPr>
          <w:p w:rsidR="00E34067" w:rsidRDefault="00FD10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Вес, г</w:t>
            </w:r>
          </w:p>
        </w:tc>
        <w:tc>
          <w:tcPr>
            <w:tcW w:w="3685" w:type="dxa"/>
            <w:vAlign w:val="center"/>
          </w:tcPr>
          <w:p w:rsidR="00E34067" w:rsidRDefault="00FD10C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</w:t>
            </w:r>
          </w:p>
        </w:tc>
      </w:tr>
    </w:tbl>
    <w:p w:rsidR="00E34067" w:rsidRDefault="00E3406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4067" w:rsidRDefault="00FD10C9">
      <w:pPr>
        <w:pStyle w:val="ab"/>
        <w:shd w:val="clear" w:color="auto" w:fill="FFFFFF"/>
        <w:spacing w:beforeAutospacing="0" w:after="0" w:afterAutospacing="0" w:line="288" w:lineRule="auto"/>
        <w:jc w:val="right"/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</w:pPr>
      <w:r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  <w:t>Производитель оставляет за собой право без предварительного уведомления покупателя вносить изменения</w:t>
      </w:r>
      <w:r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  <w:br/>
        <w:t>в конструкцию или технологию изготовления изделия с целью улучшения его свойств.</w:t>
      </w:r>
    </w:p>
    <w:p w:rsidR="00360662" w:rsidRDefault="00360662" w:rsidP="00360662">
      <w:pPr>
        <w:shd w:val="clear" w:color="auto" w:fill="FFFFFF"/>
        <w:tabs>
          <w:tab w:val="left" w:pos="2090"/>
        </w:tabs>
        <w:spacing w:before="6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360662">
      <w:pgSz w:w="11906" w:h="16838"/>
      <w:pgMar w:top="284" w:right="851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263E"/>
    <w:multiLevelType w:val="multilevel"/>
    <w:tmpl w:val="95F43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BB0F36"/>
    <w:multiLevelType w:val="multilevel"/>
    <w:tmpl w:val="8B5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67"/>
    <w:rsid w:val="00360662"/>
    <w:rsid w:val="00CD627F"/>
    <w:rsid w:val="00E34067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1C24-1FC1-492E-B808-90A5962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05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C49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A0B"/>
    <w:rPr>
      <w:b/>
      <w:bCs/>
    </w:rPr>
  </w:style>
  <w:style w:type="character" w:customStyle="1" w:styleId="a4">
    <w:name w:val="Основной текст Знак"/>
    <w:basedOn w:val="a0"/>
    <w:uiPriority w:val="99"/>
    <w:qFormat/>
    <w:rsid w:val="005F0B5D"/>
    <w:rPr>
      <w:rFonts w:ascii="Century Gothic" w:eastAsia="Times New Roman" w:hAnsi="Century Gothic" w:cs="Century Gothic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E1C4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0E1C4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E1C4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05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5F0B5D"/>
    <w:pPr>
      <w:widowControl w:val="0"/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D90A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09332D"/>
    <w:pPr>
      <w:widowControl w:val="0"/>
      <w:spacing w:after="0" w:line="240" w:lineRule="auto"/>
      <w:ind w:left="814" w:hanging="360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0E1C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6208A"/>
    <w:pPr>
      <w:widowControl w:val="0"/>
      <w:spacing w:before="19" w:after="0" w:line="240" w:lineRule="auto"/>
      <w:ind w:left="79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39"/>
    <w:rsid w:val="0009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5A1B-02E1-411C-86E5-BC629DA6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2691</Characters>
  <Application>Microsoft Office Word</Application>
  <DocSecurity>0</DocSecurity>
  <Lines>22</Lines>
  <Paragraphs>6</Paragraphs>
  <ScaleCrop>false</ScaleCrop>
  <Company>Impex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Геннадьевич</dc:creator>
  <dc:description/>
  <cp:lastModifiedBy>Елизавета Цыколина</cp:lastModifiedBy>
  <cp:revision>9</cp:revision>
  <cp:lastPrinted>2021-06-04T11:45:00Z</cp:lastPrinted>
  <dcterms:created xsi:type="dcterms:W3CDTF">2023-04-27T07:54:00Z</dcterms:created>
  <dcterms:modified xsi:type="dcterms:W3CDTF">2023-05-29T07:50:00Z</dcterms:modified>
  <dc:language>ru-RU</dc:language>
</cp:coreProperties>
</file>